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光明之子與黑暗之子</w:t>
      </w:r>
    </w:p>
    <w:p>
      <w:pPr>
        <w:jc w:val="left"/>
        <w:rPr>
          <w:rFonts w:hint="eastAsia" w:ascii="新細明體" w:hAnsi="新細明體" w:eastAsia="新細明體" w:cs="新細明體"/>
        </w:rPr>
      </w:pPr>
      <w:r>
        <w:rPr>
          <w:rFonts w:hint="eastAsia" w:ascii="新細明體" w:hAnsi="新細明體" w:eastAsia="新細明體" w:cs="新細明體"/>
        </w:rPr>
        <w:t>The Children of Light and the Children of Darkness</w:t>
      </w:r>
    </w:p>
    <w:p>
      <w:pPr>
        <w:jc w:val="left"/>
        <w:rPr>
          <w:rFonts w:hint="eastAsia" w:ascii="新細明體" w:hAnsi="新細明體" w:eastAsia="新細明體" w:cs="新細明體"/>
        </w:rPr>
      </w:pPr>
      <w:r>
        <w:rPr>
          <w:rFonts w:hint="eastAsia" w:ascii="新細明體" w:hAnsi="新細明體" w:eastAsia="新細明體" w:cs="新細明體"/>
        </w:rPr>
        <w:t>出版社：道風書社</w:t>
      </w:r>
    </w:p>
    <w:p>
      <w:pPr>
        <w:jc w:val="left"/>
        <w:rPr>
          <w:rFonts w:hint="eastAsia" w:ascii="新細明體" w:hAnsi="新細明體" w:eastAsia="新細明體" w:cs="新細明體"/>
        </w:rPr>
      </w:pPr>
      <w:r>
        <w:rPr>
          <w:rFonts w:hint="eastAsia" w:ascii="新細明體" w:hAnsi="新細明體" w:eastAsia="新細明體" w:cs="新細明體"/>
        </w:rPr>
        <w:t>作者：尼布爾 (Reinhold Niebuhr)</w:t>
      </w:r>
    </w:p>
    <w:p>
      <w:pPr>
        <w:jc w:val="left"/>
        <w:rPr>
          <w:rFonts w:hint="eastAsia" w:ascii="新細明體" w:hAnsi="新細明體" w:eastAsia="新細明體" w:cs="新細明體"/>
        </w:rPr>
      </w:pPr>
      <w:r>
        <w:rPr>
          <w:rFonts w:hint="eastAsia" w:ascii="新細明體" w:hAnsi="新細明體" w:eastAsia="新細明體" w:cs="新細明體"/>
        </w:rPr>
        <w:t>譯者：孫仲</w:t>
      </w:r>
    </w:p>
    <w:p>
      <w:pPr>
        <w:jc w:val="left"/>
        <w:rPr>
          <w:rFonts w:hint="eastAsia" w:ascii="新細明體" w:hAnsi="新細明體" w:eastAsia="新細明體" w:cs="新細明體"/>
        </w:rPr>
      </w:pPr>
      <w:r>
        <w:rPr>
          <w:rFonts w:hint="eastAsia" w:ascii="新細明體" w:hAnsi="新細明體" w:eastAsia="新細明體" w:cs="新細明體"/>
        </w:rPr>
        <w:t>產品編號：SC2134</w:t>
      </w:r>
    </w:p>
    <w:p>
      <w:pPr>
        <w:jc w:val="left"/>
        <w:rPr>
          <w:rFonts w:hint="eastAsia" w:ascii="新細明體" w:hAnsi="新細明體" w:eastAsia="新細明體" w:cs="新細明體"/>
        </w:rPr>
      </w:pPr>
      <w:r>
        <w:rPr>
          <w:rFonts w:hint="eastAsia" w:ascii="新細明體" w:hAnsi="新細明體" w:eastAsia="新細明體" w:cs="新細明體"/>
        </w:rPr>
        <w:t>ISBN：</w:t>
      </w:r>
      <w:bookmarkStart w:id="0" w:name="_GoBack"/>
      <w:r>
        <w:rPr>
          <w:rFonts w:hint="eastAsia" w:ascii="新細明體" w:hAnsi="新細明體" w:eastAsia="新細明體" w:cs="新細明體"/>
        </w:rPr>
        <w:t>9789628911400</w:t>
      </w:r>
    </w:p>
    <w:bookmarkEnd w:id="0"/>
    <w:p>
      <w:pPr>
        <w:jc w:val="left"/>
        <w:rPr>
          <w:rFonts w:hint="eastAsia" w:ascii="新細明體" w:hAnsi="新細明體" w:eastAsia="新細明體" w:cs="新細明體"/>
        </w:rPr>
      </w:pPr>
      <w:r>
        <w:rPr>
          <w:rFonts w:hint="eastAsia" w:ascii="新細明體" w:hAnsi="新細明體" w:eastAsia="新細明體" w:cs="新細明體"/>
        </w:rPr>
        <w:t>出版日期：2007-12-1</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二十世紀最著名的公共神學家尼布爾對當代神學倫理學、國際政治領域和政治哲學都有重大的影響。一九四四年寫成的《光明之子與黑暗之子》，是他最有系統的政治哲學著作。他認為需要從基督教現實主義出發為民主重新奠定堅實的哲學與神學基礎，以抵禦民主的敵人——各種「黑暗之子」——對文明社會的進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文集的另外一個部分，由尼布爾的三篇論文組成。其中「思想自傳」讓人們看到了尼布爾一生的主要關懷及其發展的軌跡和各種契機。〈奧古斯丁的政治現實主義〉揭示了尼布爾思想轉向的最後落腳點——基督教現實主義——的主要思想資源。〈宗教與現代社會中的社會行動〉則告訴了人們尼布爾是如何理解我們今天稱之為「公共神學」的問題的，也就是宗教是否應當介入公共領域，以及如何介入公共領域。</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目錄：</w:t>
      </w:r>
    </w:p>
    <w:p>
      <w:pPr>
        <w:jc w:val="left"/>
        <w:rPr>
          <w:rFonts w:hint="eastAsia" w:ascii="新細明體" w:hAnsi="新細明體" w:eastAsia="新細明體" w:cs="新細明體"/>
        </w:rPr>
      </w:pPr>
      <w:r>
        <w:rPr>
          <w:rFonts w:hint="eastAsia" w:ascii="新細明體" w:hAnsi="新細明體" w:eastAsia="新細明體" w:cs="新細明體"/>
        </w:rPr>
        <w:t>中譯本導言(林鴻信撰)</w:t>
      </w:r>
    </w:p>
    <w:p>
      <w:pPr>
        <w:jc w:val="left"/>
        <w:rPr>
          <w:rFonts w:hint="eastAsia" w:ascii="新細明體" w:hAnsi="新細明體" w:eastAsia="新細明體" w:cs="新細明體"/>
        </w:rPr>
      </w:pPr>
      <w:r>
        <w:rPr>
          <w:rFonts w:hint="eastAsia" w:ascii="新細明體" w:hAnsi="新細明體" w:eastAsia="新細明體" w:cs="新細明體"/>
        </w:rPr>
        <w:t>譯者前言</w:t>
      </w:r>
    </w:p>
    <w:p>
      <w:pPr>
        <w:jc w:val="left"/>
        <w:rPr>
          <w:rFonts w:hint="eastAsia" w:ascii="新細明體" w:hAnsi="新細明體" w:eastAsia="新細明體" w:cs="新細明體"/>
        </w:rPr>
      </w:pPr>
      <w:r>
        <w:rPr>
          <w:rFonts w:hint="eastAsia" w:ascii="新細明體" w:hAnsi="新細明體" w:eastAsia="新細明體" w:cs="新細明體"/>
        </w:rPr>
        <w:t>第一章 光明之子與黑暗之子</w:t>
      </w:r>
    </w:p>
    <w:p>
      <w:pPr>
        <w:jc w:val="left"/>
        <w:rPr>
          <w:rFonts w:hint="eastAsia" w:ascii="新細明體" w:hAnsi="新細明體" w:eastAsia="新細明體" w:cs="新細明體"/>
        </w:rPr>
      </w:pPr>
      <w:r>
        <w:rPr>
          <w:rFonts w:hint="eastAsia" w:ascii="新細明體" w:hAnsi="新細明體" w:eastAsia="新細明體" w:cs="新細明體"/>
        </w:rPr>
        <w:t>第二章 個人與共同體</w:t>
      </w:r>
    </w:p>
    <w:p>
      <w:pPr>
        <w:jc w:val="left"/>
        <w:rPr>
          <w:rFonts w:hint="eastAsia" w:ascii="新細明體" w:hAnsi="新細明體" w:eastAsia="新細明體" w:cs="新細明體"/>
        </w:rPr>
      </w:pPr>
      <w:r>
        <w:rPr>
          <w:rFonts w:hint="eastAsia" w:ascii="新細明體" w:hAnsi="新細明體" w:eastAsia="新細明體" w:cs="新細明體"/>
        </w:rPr>
        <w:t>第三章 共同體與財產</w:t>
      </w:r>
    </w:p>
    <w:p>
      <w:pPr>
        <w:jc w:val="left"/>
        <w:rPr>
          <w:rFonts w:hint="eastAsia" w:ascii="新細明體" w:hAnsi="新細明體" w:eastAsia="新細明體" w:cs="新細明體"/>
        </w:rPr>
      </w:pPr>
      <w:r>
        <w:rPr>
          <w:rFonts w:hint="eastAsia" w:ascii="新細明體" w:hAnsi="新細明體" w:eastAsia="新細明體" w:cs="新細明體"/>
        </w:rPr>
        <w:t>第四章 民主的寬容與共同體中的各種群體</w:t>
      </w:r>
    </w:p>
    <w:p>
      <w:pPr>
        <w:jc w:val="left"/>
        <w:rPr>
          <w:rFonts w:hint="eastAsia" w:ascii="新細明體" w:hAnsi="新細明體" w:eastAsia="新細明體" w:cs="新細明體"/>
        </w:rPr>
      </w:pPr>
      <w:r>
        <w:rPr>
          <w:rFonts w:hint="eastAsia" w:ascii="新細明體" w:hAnsi="新細明體" w:eastAsia="新細明體" w:cs="新細明體"/>
        </w:rPr>
        <w:t>第五章 世界共同體</w:t>
      </w:r>
    </w:p>
    <w:p>
      <w:pPr>
        <w:jc w:val="left"/>
        <w:rPr>
          <w:rFonts w:hint="eastAsia" w:ascii="新細明體" w:hAnsi="新細明體" w:eastAsia="新細明體" w:cs="新細明體"/>
        </w:rPr>
      </w:pPr>
      <w:r>
        <w:rPr>
          <w:rFonts w:hint="eastAsia" w:ascii="新細明體" w:hAnsi="新細明體" w:eastAsia="新細明體" w:cs="新細明體"/>
        </w:rPr>
        <w:t>附錄</w:t>
      </w:r>
    </w:p>
    <w:p>
      <w:pPr>
        <w:jc w:val="left"/>
        <w:rPr>
          <w:rFonts w:hint="eastAsia" w:ascii="新細明體" w:hAnsi="新細明體" w:eastAsia="新細明體" w:cs="新細明體"/>
        </w:rPr>
      </w:pPr>
      <w:r>
        <w:rPr>
          <w:rFonts w:hint="eastAsia" w:ascii="新細明體" w:hAnsi="新細明體" w:eastAsia="新細明體" w:cs="新細明體"/>
        </w:rPr>
        <w:t>尼布爾思想自傳</w:t>
      </w:r>
    </w:p>
    <w:p>
      <w:pPr>
        <w:jc w:val="left"/>
        <w:rPr>
          <w:rFonts w:hint="eastAsia" w:ascii="新細明體" w:hAnsi="新細明體" w:eastAsia="新細明體" w:cs="新細明體"/>
        </w:rPr>
      </w:pPr>
      <w:r>
        <w:rPr>
          <w:rFonts w:hint="eastAsia" w:ascii="新細明體" w:hAnsi="新細明體" w:eastAsia="新細明體" w:cs="新細明體"/>
        </w:rPr>
        <w:t>宗教與現代生活中的社會行動</w:t>
      </w:r>
    </w:p>
    <w:p>
      <w:pPr>
        <w:jc w:val="left"/>
        <w:rPr>
          <w:rFonts w:hint="eastAsia" w:ascii="新細明體" w:hAnsi="新細明體" w:eastAsia="新細明體" w:cs="新細明體"/>
        </w:rPr>
      </w:pPr>
      <w:r>
        <w:rPr>
          <w:rFonts w:hint="eastAsia" w:ascii="新細明體" w:hAnsi="新細明體" w:eastAsia="新細明體" w:cs="新細明體"/>
        </w:rPr>
        <w:t>奧古斯丁的政治現實主義</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https://www.logos.com.hk/bf/acms/content.asp?site=logosbf&amp;op=show&amp;type=product&amp;code=SC2134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A797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2023-12-03T08:05:10Z</dcterms:created>
  <dc:creator>User</dc:creator>
  <cp:lastModifiedBy>User</cp:lastModifiedBy>
  <dcterms:modified xsi:type="dcterms:W3CDTF">2023-12-03T08:07:17Z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96CBE1AC005343DC84C60820EDA6CEC2_12</vt:lpwstr>
  </property>
</Properties>
</file>